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50" w:rsidRPr="000A48A7" w:rsidRDefault="00787673" w:rsidP="00036F68">
      <w:pPr>
        <w:spacing w:after="0" w:line="240" w:lineRule="auto"/>
        <w:ind w:left="5954"/>
        <w:jc w:val="center"/>
        <w:rPr>
          <w:rFonts w:ascii="Montserrat" w:eastAsia="Times New Roman" w:hAnsi="Montserrat" w:cs="Times New Roman"/>
          <w:color w:val="000080"/>
          <w:lang w:val="uz-Cyrl-UZ" w:eastAsia="ru-RU"/>
        </w:rPr>
      </w:pPr>
      <w:r w:rsidRPr="000A48A7">
        <w:rPr>
          <w:rFonts w:ascii="Montserrat" w:eastAsia="Times New Roman" w:hAnsi="Montserrat" w:cs="Times New Roman"/>
          <w:color w:val="000080"/>
          <w:lang w:val="uz-Cyrl-UZ" w:eastAsia="ru-RU"/>
        </w:rPr>
        <w:t>202</w:t>
      </w:r>
      <w:r w:rsidR="00250B04" w:rsidRPr="000A48A7">
        <w:rPr>
          <w:rFonts w:ascii="Montserrat" w:eastAsia="Times New Roman" w:hAnsi="Montserrat" w:cs="Times New Roman"/>
          <w:color w:val="000080"/>
          <w:lang w:val="uz-Cyrl-UZ" w:eastAsia="ru-RU"/>
        </w:rPr>
        <w:t>3-yil</w:t>
      </w:r>
      <w:r w:rsidRPr="000A48A7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9D0450" w:rsidRPr="000A48A7">
        <w:rPr>
          <w:rFonts w:ascii="Montserrat" w:eastAsia="Times New Roman" w:hAnsi="Montserrat" w:cs="Times New Roman"/>
          <w:color w:val="000080"/>
          <w:lang w:val="en-US" w:eastAsia="ru-RU"/>
        </w:rPr>
        <w:t>1-</w:t>
      </w:r>
      <w:r w:rsidR="00250B04" w:rsidRPr="000A48A7">
        <w:rPr>
          <w:rFonts w:ascii="Montserrat" w:eastAsia="Times New Roman" w:hAnsi="Montserrat" w:cs="Times New Roman"/>
          <w:color w:val="000080"/>
          <w:lang w:val="uz-Cyrl-UZ" w:eastAsia="ru-RU"/>
        </w:rPr>
        <w:t>chorak</w:t>
      </w:r>
      <w:r w:rsidR="009D0450" w:rsidRPr="000A48A7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A48A7">
        <w:rPr>
          <w:rFonts w:ascii="Montserrat" w:eastAsia="Times New Roman" w:hAnsi="Montserrat" w:cs="Times New Roman"/>
          <w:color w:val="000080"/>
          <w:lang w:val="uz-Cyrl-UZ" w:eastAsia="ru-RU"/>
        </w:rPr>
        <w:t>davomida</w:t>
      </w:r>
    </w:p>
    <w:p w:rsidR="00036F68" w:rsidRPr="00036F68" w:rsidRDefault="00126C5C" w:rsidP="00036F68">
      <w:pPr>
        <w:spacing w:after="0" w:line="240" w:lineRule="auto"/>
        <w:ind w:left="5954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val="uz-Cyrl-UZ" w:eastAsia="ru-RU"/>
        </w:rPr>
      </w:pPr>
      <w:r w:rsidRPr="00036F68">
        <w:rPr>
          <w:rFonts w:ascii="Montserrat" w:eastAsia="Times New Roman" w:hAnsi="Montserrat" w:cs="Times New Roman"/>
          <w:color w:val="000080"/>
          <w:lang w:val="uz-Cyrl-UZ" w:eastAsia="ru-RU"/>
        </w:rPr>
        <w:t>Kambag‘allikni qisqartirish va bandlik</w:t>
      </w:r>
      <w:r w:rsidR="00036F68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v</w:t>
      </w:r>
      <w:r w:rsidRPr="00036F68">
        <w:rPr>
          <w:rFonts w:ascii="Montserrat" w:eastAsia="Times New Roman" w:hAnsi="Montserrat" w:cs="Times New Roman"/>
          <w:color w:val="000080"/>
          <w:lang w:val="uz-Cyrl-UZ" w:eastAsia="ru-RU"/>
        </w:rPr>
        <w:t>azirligi huzuridagi Oila va xotin-qizlar</w:t>
      </w:r>
      <w:r w:rsidR="00036F68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Pr="00036F68">
        <w:rPr>
          <w:rFonts w:ascii="Montserrat" w:eastAsia="Times New Roman" w:hAnsi="Montserrat" w:cs="Times New Roman"/>
          <w:color w:val="000080"/>
          <w:lang w:val="uz-Cyrl-UZ" w:eastAsia="ru-RU"/>
        </w:rPr>
        <w:t>qo‘mitasi</w:t>
      </w:r>
      <w:r w:rsidR="00036F68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faoliyatining</w:t>
      </w:r>
      <w:r w:rsidR="00D32976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ochiqligi</w:t>
      </w:r>
      <w:r w:rsidR="00250B04" w:rsidRPr="000A48A7">
        <w:rPr>
          <w:rFonts w:ascii="Montserrat" w:eastAsia="Times New Roman" w:hAnsi="Montserrat" w:cs="Times New Roman"/>
          <w:color w:val="000080"/>
          <w:lang w:val="uz-Cyrl-UZ" w:eastAsia="ru-RU"/>
        </w:rPr>
        <w:t>ni</w:t>
      </w:r>
      <w:r w:rsidR="00036F68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monitoring</w:t>
      </w:r>
      <w:r w:rsidR="00D32976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qilish</w:t>
      </w:r>
      <w:r w:rsidR="00D32976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va</w:t>
      </w:r>
      <w:r w:rsidR="00D32976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baholash</w:t>
      </w:r>
      <w:r w:rsidR="00D32976" w:rsidRPr="00036F68">
        <w:rPr>
          <w:rFonts w:ascii="Montserrat" w:eastAsia="Times New Roman" w:hAnsi="Montserrat" w:cs="Times New Roman"/>
          <w:color w:val="000080"/>
          <w:lang w:val="uz-Cyrl-UZ" w:eastAsia="ru-RU"/>
        </w:rPr>
        <w:t xml:space="preserve"> </w:t>
      </w:r>
      <w:r w:rsidR="00250B04" w:rsidRPr="00036F68">
        <w:rPr>
          <w:rFonts w:ascii="Montserrat" w:eastAsia="Times New Roman" w:hAnsi="Montserrat" w:cs="Times New Roman"/>
          <w:color w:val="000080"/>
          <w:lang w:val="uz-Cyrl-UZ" w:eastAsia="ru-RU"/>
        </w:rPr>
        <w:t>bo‘yicha</w:t>
      </w:r>
    </w:p>
    <w:p w:rsidR="009D79BE" w:rsidRPr="000A48A7" w:rsidRDefault="00C53ACE" w:rsidP="00036F68">
      <w:pPr>
        <w:spacing w:after="0" w:line="240" w:lineRule="auto"/>
        <w:ind w:left="5954"/>
        <w:jc w:val="center"/>
        <w:rPr>
          <w:rFonts w:ascii="Montserrat" w:eastAsia="Times New Roman" w:hAnsi="Montserrat" w:cs="Times New Roman"/>
          <w:color w:val="000080"/>
          <w:lang w:val="uz-Cyrl-UZ" w:eastAsia="ru-RU"/>
        </w:rPr>
      </w:pPr>
      <w:r w:rsidRPr="000A48A7">
        <w:rPr>
          <w:rFonts w:ascii="Montserrat" w:eastAsia="Times New Roman" w:hAnsi="Montserrat" w:cs="Times New Roman"/>
          <w:color w:val="000080"/>
          <w:lang w:val="uz-Cyrl-UZ" w:eastAsia="ru-RU"/>
        </w:rPr>
        <w:t>(</w:t>
      </w:r>
      <w:r w:rsidRPr="000A48A7">
        <w:rPr>
          <w:rFonts w:ascii="Montserrat" w:eastAsia="Times New Roman" w:hAnsi="Montserrat" w:cs="Times New Roman"/>
          <w:i/>
          <w:color w:val="000080"/>
          <w:lang w:val="uz-Cyrl-UZ" w:eastAsia="ru-RU"/>
        </w:rPr>
        <w:t>7-</w:t>
      </w:r>
      <w:r w:rsidR="00250B04" w:rsidRPr="000A48A7">
        <w:rPr>
          <w:rFonts w:ascii="Montserrat" w:eastAsia="Times New Roman" w:hAnsi="Montserrat" w:cs="Times New Roman"/>
          <w:i/>
          <w:color w:val="000080"/>
          <w:lang w:val="uz-Cyrl-UZ" w:eastAsia="ru-RU"/>
        </w:rPr>
        <w:t>ilova</w:t>
      </w:r>
      <w:r w:rsidRPr="000A48A7">
        <w:rPr>
          <w:rFonts w:ascii="Montserrat" w:eastAsia="Times New Roman" w:hAnsi="Montserrat" w:cs="Times New Roman"/>
          <w:color w:val="000080"/>
          <w:lang w:val="uz-Cyrl-UZ" w:eastAsia="ru-RU"/>
        </w:rPr>
        <w:t>)</w:t>
      </w:r>
    </w:p>
    <w:p w:rsidR="00D32976" w:rsidRPr="00787673" w:rsidRDefault="00D32976" w:rsidP="00787673">
      <w:pPr>
        <w:spacing w:after="0" w:line="240" w:lineRule="auto"/>
        <w:jc w:val="right"/>
        <w:rPr>
          <w:rFonts w:ascii="Montserrat" w:eastAsia="Times New Roman" w:hAnsi="Montserrat" w:cs="Times New Roman"/>
          <w:color w:val="000080"/>
          <w:sz w:val="25"/>
          <w:szCs w:val="25"/>
          <w:lang w:val="uz-Cyrl-UZ" w:eastAsia="ru-RU"/>
        </w:rPr>
      </w:pPr>
      <w:r w:rsidRPr="00250B04">
        <w:rPr>
          <w:rFonts w:ascii="Montserrat" w:eastAsia="Times New Roman" w:hAnsi="Montserrat" w:cs="Times New Roman"/>
          <w:color w:val="000080"/>
          <w:sz w:val="25"/>
          <w:szCs w:val="25"/>
          <w:lang w:val="en-US" w:eastAsia="ru-RU"/>
        </w:rPr>
        <w:t> </w:t>
      </w:r>
      <w:r w:rsidR="00787673">
        <w:rPr>
          <w:rFonts w:ascii="Montserrat" w:eastAsia="Times New Roman" w:hAnsi="Montserrat" w:cs="Times New Roman"/>
          <w:color w:val="000080"/>
          <w:sz w:val="25"/>
          <w:szCs w:val="25"/>
          <w:lang w:val="uz-Cyrl-UZ" w:eastAsia="ru-RU"/>
        </w:rPr>
        <w:t xml:space="preserve"> </w:t>
      </w:r>
    </w:p>
    <w:p w:rsidR="00D32976" w:rsidRPr="00040E71" w:rsidRDefault="00250B04" w:rsidP="00D32976">
      <w:pPr>
        <w:spacing w:after="120" w:line="240" w:lineRule="auto"/>
        <w:jc w:val="center"/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</w:pP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Korrupsiya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holatlarini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barvaqt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aniqlash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va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ularning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oldini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olishda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ochiqlik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tamoyillaridan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foydalanish</w:t>
      </w:r>
      <w:r w:rsidR="00D32976"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 xml:space="preserve"> </w:t>
      </w:r>
      <w:r w:rsidRPr="00040E71">
        <w:rPr>
          <w:rFonts w:ascii="Montserrat-Bold" w:eastAsia="Times New Roman" w:hAnsi="Montserrat-Bold" w:cs="Times New Roman"/>
          <w:bCs/>
          <w:color w:val="000080"/>
          <w:sz w:val="27"/>
          <w:szCs w:val="27"/>
          <w:lang w:val="uz-Cyrl-UZ" w:eastAsia="ru-RU"/>
        </w:rPr>
        <w:t>holatini</w:t>
      </w:r>
    </w:p>
    <w:p w:rsidR="00D32976" w:rsidRPr="00040E71" w:rsidRDefault="00250B04" w:rsidP="00D32976">
      <w:pPr>
        <w:spacing w:after="0" w:line="240" w:lineRule="auto"/>
        <w:jc w:val="center"/>
        <w:rPr>
          <w:rFonts w:ascii="Montserrat" w:eastAsia="Times New Roman" w:hAnsi="Montserrat" w:cs="Times New Roman"/>
          <w:b/>
          <w:caps/>
          <w:color w:val="000080"/>
          <w:sz w:val="27"/>
          <w:szCs w:val="27"/>
          <w:lang w:eastAsia="ru-RU"/>
        </w:rPr>
      </w:pPr>
      <w:r w:rsidRPr="00040E71">
        <w:rPr>
          <w:rFonts w:ascii="Montserrat" w:eastAsia="Times New Roman" w:hAnsi="Montserrat" w:cs="Times New Roman"/>
          <w:b/>
          <w:caps/>
          <w:color w:val="000080"/>
          <w:sz w:val="27"/>
          <w:szCs w:val="27"/>
          <w:lang w:eastAsia="ru-RU"/>
        </w:rPr>
        <w:t>BAHOLASh</w:t>
      </w:r>
      <w:r w:rsidR="00D32976" w:rsidRPr="00040E71">
        <w:rPr>
          <w:rFonts w:ascii="Montserrat" w:eastAsia="Times New Roman" w:hAnsi="Montserrat" w:cs="Times New Roman"/>
          <w:b/>
          <w:caps/>
          <w:color w:val="000080"/>
          <w:sz w:val="27"/>
          <w:szCs w:val="27"/>
          <w:lang w:eastAsia="ru-RU"/>
        </w:rPr>
        <w:t xml:space="preserve"> </w:t>
      </w:r>
      <w:r w:rsidRPr="00040E71">
        <w:rPr>
          <w:rFonts w:ascii="Montserrat" w:eastAsia="Times New Roman" w:hAnsi="Montserrat" w:cs="Times New Roman"/>
          <w:b/>
          <w:caps/>
          <w:color w:val="000080"/>
          <w:sz w:val="27"/>
          <w:szCs w:val="27"/>
          <w:lang w:eastAsia="ru-RU"/>
        </w:rPr>
        <w:t>MeZONLARI</w:t>
      </w:r>
    </w:p>
    <w:tbl>
      <w:tblPr>
        <w:tblW w:w="5390" w:type="pct"/>
        <w:tblInd w:w="-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7490"/>
        <w:gridCol w:w="967"/>
        <w:gridCol w:w="1303"/>
      </w:tblGrid>
      <w:tr w:rsidR="00D32976" w:rsidRPr="00D32976" w:rsidTr="00D26F15">
        <w:trPr>
          <w:trHeight w:val="20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250B04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250B04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Baholash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mezonlari</w:t>
            </w:r>
            <w:proofErr w:type="spellEnd"/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250B04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Ballar</w:t>
            </w:r>
            <w:proofErr w:type="spellEnd"/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250B04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To‘plangan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ball</w:t>
            </w:r>
            <w:proofErr w:type="spellEnd"/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2976" w:rsidRPr="00DA53CD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4B" w:rsidRDefault="00250B04" w:rsidP="0066764B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Korrupsiya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holatlarini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barvaqt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aniqlash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ularning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oldini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olishga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doir</w:t>
            </w:r>
            <w:proofErr w:type="spellEnd"/>
            <w:r w:rsidR="00D32976" w:rsidRPr="008D225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32976" w:rsidRPr="0066764B" w:rsidRDefault="00250B04" w:rsidP="006676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ichki</w:t>
            </w:r>
            <w:proofErr w:type="spellEnd"/>
            <w:r w:rsidR="00D32976"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idoraviy</w:t>
            </w:r>
            <w:proofErr w:type="spellEnd"/>
            <w:r w:rsidR="00D32976"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hujjatlarning</w:t>
            </w:r>
            <w:proofErr w:type="spellEnd"/>
            <w:r w:rsidR="00D32976"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ochiq</w:t>
            </w:r>
            <w:proofErr w:type="spellEnd"/>
            <w:r w:rsidR="00D32976"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lon</w:t>
            </w:r>
            <w:proofErr w:type="spellEnd"/>
            <w:r w:rsidR="00D32976" w:rsidRPr="0066764B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qilinishi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A72472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holatlarini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barvaqt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aniqlash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ularning</w:t>
            </w:r>
            <w:proofErr w:type="spellEnd"/>
            <w:r w:rsidR="00C908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olishga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ichki</w:t>
            </w:r>
            <w:proofErr w:type="spellEnd"/>
            <w:r w:rsidR="00C908D1" w:rsidRPr="00C9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idoraviy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kurashish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siyosati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manfaatlar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to‘qnashuvini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boshqarish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haqida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nizom</w:t>
            </w:r>
            <w:proofErr w:type="spellEnd"/>
            <w:r w:rsidR="00A7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odob</w:t>
            </w:r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axloq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qoidalari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kurashish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samaradorligini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monitoring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nazorat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uslubiy</w:t>
            </w:r>
            <w:proofErr w:type="spellEnd"/>
            <w:r w:rsidR="00A7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 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kontragentlarni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tekshirish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yo‘riqnoma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davlat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xaridlarini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o‘tkazish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to‘g‘risidagi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nizom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korrupsiyaviy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xavf</w:t>
            </w:r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xatarlarni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barvaqt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aniqlash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baholash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uslubiyati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korrupsiyaviy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harakatlar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to‘g‘risida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</w:t>
            </w:r>
            <w:proofErr w:type="gramEnd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proofErr w:type="gram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lumot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berish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uchun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aloqa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kanallari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orqali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kelib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tushgan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xabarlarni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qabul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ko‘rib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chiqish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qayta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ishlash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reglamenti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sohadagi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hisobotni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shakllantirish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taqdim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etish</w:t>
            </w:r>
            <w:proofErr w:type="spellEnd"/>
            <w:r w:rsidR="00D32976"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reglamenti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9851F9" w:rsidRDefault="009851F9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250B04" w:rsidRDefault="00250B04" w:rsidP="00EB6997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hujjatlar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to‘liq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bo‘lmagan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yoki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yangilab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borish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muddatlariga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rioya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qilinmagan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7813A1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7813A1" w:rsidRDefault="007813A1" w:rsidP="007813A1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78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7813A1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7813A1" w:rsidRDefault="007813A1" w:rsidP="007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A53CD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4B" w:rsidRDefault="00250B04" w:rsidP="00CB352A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Korrupsiya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haqida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xabar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berishga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mo‘ljallangan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alohida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aloqa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kanallari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32976" w:rsidRPr="00250B04" w:rsidRDefault="00250B04" w:rsidP="00CB3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to‘g‘risidagi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ma’lumotlarning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qilinishi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66764B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korrupsiyaviy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xabar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berishga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mo‘ljallangan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alohida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kanallari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raqamli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ishonch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telefoni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platforma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yoki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dasturiy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ta’minot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haqidagi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9851F9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250B04" w:rsidRDefault="00250B04" w:rsidP="00EB6997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aloqa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kanallari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qisman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tashkil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etilsa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yoki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to‘liq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78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250B04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aloqa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kanallari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tashkil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etilmasa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7813A1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A53CD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4B" w:rsidRDefault="00250B04" w:rsidP="0066764B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Kadrlarni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tanlash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joy</w:t>
            </w:r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joyiga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qo‘yishda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korrupsiyaviy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holatlarning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32976" w:rsidRPr="00250B04" w:rsidRDefault="00250B04" w:rsidP="006676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oldini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olish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tizimi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joriy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etilganligi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2117F6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rasmiy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</w:t>
            </w:r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saytda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rotasiya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to‘g‘risidagi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axborot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qilinib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o‘rinlari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uchun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nomzodlarni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tanlash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jarayonlari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jonli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onlayn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translyasiya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qilib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borilsa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9851F9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2117F6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ma’lumotlarni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yangilab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borish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jonli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translyasiya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to‘liq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amalga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oshirilmasa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2217EF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ma’lumotlar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nomzodlarni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tanlash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jarayonlari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jonli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translyasiya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32976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C8F" w:rsidRDefault="00250B04" w:rsidP="00C20C8F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nisbatan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murosasizlik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munosabatini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belgilovchi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2976" w:rsidRPr="00D32976" w:rsidRDefault="00250B04" w:rsidP="00C20C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hujjatlarni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darajasi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2217EF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mehnat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munosabatlariga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oid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mehnat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yoki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jamoat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shartnomasi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shartlarni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kiritish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holatlari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xabar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xodimlarni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rag‘batlantirish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ularni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ta’qibga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olmaslik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kafolatini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belgilovchi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ichki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idoraviy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673193" w:rsidRDefault="00673193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hujjatlar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to‘liq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250B04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C8F" w:rsidRDefault="00250B04" w:rsidP="00C20C8F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Manfaatlar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to‘qnashuvi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holatlari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haqida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jamoatchilik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oldida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32976" w:rsidRPr="00250B04" w:rsidRDefault="00250B04" w:rsidP="00C20C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hisobdorlik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tizimining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joriy</w:t>
            </w:r>
            <w:proofErr w:type="spellEnd"/>
            <w:r w:rsidR="00D32976"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etilganligi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EB6997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aniqlangan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manfaatlar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to‘qnashuvi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holatlariga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nisbatan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ichki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idoraviy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tekshiruv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natijalari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qaror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ularning</w:t>
            </w:r>
            <w:proofErr w:type="spellEnd"/>
            <w:r w:rsidR="007768F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ko‘rilgan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chora</w:t>
            </w:r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tadbirlar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haqidagi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hisobot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axborot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9851F9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EB6997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qilinishi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lozim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ma’lumotlarga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qo‘yilgan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talablar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qisman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bajarilsa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A53CD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0C8F" w:rsidRDefault="00250B04" w:rsidP="00C20C8F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Korrupsiyaviy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xavf</w:t>
            </w:r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xatarlarni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aniqlash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ularning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oldini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olish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choralarini</w:t>
            </w:r>
            <w:proofErr w:type="spellEnd"/>
            <w:r w:rsidR="00D32976" w:rsidRPr="002217E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32976" w:rsidRPr="00C20C8F" w:rsidRDefault="00250B04" w:rsidP="00C20C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ko‘rish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natijalari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haqida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hisobdorlik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tizimi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yo‘lga</w:t>
            </w:r>
            <w:proofErr w:type="spellEnd"/>
            <w:r w:rsidR="00D32976"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0C8F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qo‘yilganligi</w:t>
            </w:r>
            <w:proofErr w:type="spellEnd"/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6F7BD5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korrupsiyaviy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xavf</w:t>
            </w:r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xatarlarni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aniqlash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borasida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amalga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oshirilgan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chora</w:t>
            </w:r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tadbirlar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tahlillar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jamoatchilik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so‘rovlari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shu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jumladan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onlayn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so‘rovnoma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uning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natijalari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korrupsiyaviy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xavf</w:t>
            </w:r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xatarlarni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aniqlash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minimallashtirish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ko‘rilgan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choralar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haqidagi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hisobotlar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axborot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ichki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idoraviy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hujjatlarning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ekspertiza</w:t>
            </w:r>
            <w:proofErr w:type="spellEnd"/>
            <w:r w:rsidR="00D32976"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natijalari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742217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EB6997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qilinishi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lozim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ma’lumotlarga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qo‘yilgan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talablar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qisman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bajarilsa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EB6997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A53CD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53CD" w:rsidRPr="00DA53CD" w:rsidRDefault="00250B04" w:rsidP="00DA53CD">
            <w:pPr>
              <w:spacing w:after="0" w:line="20" w:lineRule="atLeast"/>
              <w:jc w:val="center"/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Xodimlarning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kurashish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ichki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tartib</w:t>
            </w:r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taomillaridan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xabardorligi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hamda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sohadagi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bilim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ko‘nikmalarini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oshirishga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qaratilgan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chora</w:t>
            </w:r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tadbirlar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2976" w:rsidRPr="00DA53CD" w:rsidRDefault="00250B04" w:rsidP="00DA53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to‘g‘risidagi</w:t>
            </w:r>
            <w:proofErr w:type="spellEnd"/>
            <w:r w:rsidR="00D32976"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ma’lumotlarning</w:t>
            </w:r>
            <w:proofErr w:type="spellEnd"/>
            <w:r w:rsidR="00D32976"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53CD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qilinishi</w:t>
            </w:r>
            <w:proofErr w:type="spellEnd"/>
            <w:r w:rsidR="00CB4B1E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2976" w:rsidRPr="00D32976" w:rsidTr="00527A83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A774AD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xodimlarini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kurashish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tayyorlash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qayta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tayyorlash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jumladan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yangi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xodimlarning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qarshi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kurashish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bilim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ko‘nikmalarini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oshirish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joriy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etilgan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tizim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ishlab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chiqilgan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maxsus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o‘quv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dasturlar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qo‘llanma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boshqa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hujjatlar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D32976" w:rsidP="00527A8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8D2256" w:rsidRDefault="008D2256" w:rsidP="0052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B01236">
            <w:pPr>
              <w:spacing w:after="100" w:afterAutospacing="1" w:line="20" w:lineRule="atLeast"/>
              <w:ind w:firstLine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qilinishi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lozim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ma’lumotlarga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qo‘yilgan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talablar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qisman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bajarilsa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BE7F16" w:rsidRDefault="00BE7F16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ma’lumot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32976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D32976" w:rsidRDefault="00250B04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Keng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jamoatchilik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ommaviy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axborot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vositalari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ishtirokida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o‘tkazilgan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press</w:t>
            </w:r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tadbirlarni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matbuot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anjumanlari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brifing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, 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seminar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, 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trening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davra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suhbati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taqdimot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muhokama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va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boshqa</w:t>
            </w:r>
            <w:proofErr w:type="spellEnd"/>
            <w:r w:rsidR="00D32976"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4AD">
              <w:rPr>
                <w:rFonts w:ascii="Montserrat-Bold" w:eastAsia="Times New Roman" w:hAnsi="Montserrat-Bold" w:cs="Times New Roman"/>
                <w:b/>
                <w:bCs/>
                <w:i/>
                <w:sz w:val="24"/>
                <w:szCs w:val="24"/>
                <w:lang w:eastAsia="ru-RU"/>
              </w:rPr>
              <w:t>tadbirlar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) 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darajasi</w:t>
            </w:r>
            <w:proofErr w:type="spellEnd"/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infografika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formatda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5D1151" w:rsidRDefault="005D1151" w:rsidP="0042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foto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shaklida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C42586" w:rsidRDefault="008D2256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25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axborot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7813A1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7813A1" w:rsidRDefault="007813A1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D32976" w:rsidRPr="00D32976" w:rsidTr="00D26F15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7813A1" w:rsidRDefault="00250B04" w:rsidP="00D26F15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Korrupsiyaga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nisbatan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murosasiz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munosabatni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shakllantirish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borasida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tayyorlangan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targ‘ibot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materiallarini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slayd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rolik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ma’ruza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matnlari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maqola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buklet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risola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va</w:t>
            </w:r>
            <w:proofErr w:type="spellEnd"/>
            <w:r w:rsidR="00D32976"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F484D">
              <w:rPr>
                <w:rFonts w:ascii="Times New Roman" w:eastAsia="Times New Roman" w:hAnsi="Times New Roman" w:cs="Times New Roman"/>
                <w:i/>
                <w:lang w:eastAsia="ru-RU"/>
              </w:rPr>
              <w:t>boshqalar</w:t>
            </w:r>
            <w:proofErr w:type="spellEnd"/>
            <w:r w:rsidR="00D32976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e’lon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qilish</w:t>
            </w:r>
            <w:proofErr w:type="spellEnd"/>
            <w:r w:rsidR="00D32976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6F1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arajasi</w:t>
            </w:r>
            <w:proofErr w:type="spellEnd"/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slayd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rolik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buklet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risola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shaklida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8D2256" w:rsidRDefault="002D666E" w:rsidP="002D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2976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D32976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2976" w:rsidRPr="00250B04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ma’ruza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matnlari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maqola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shaklida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e’lon</w:t>
            </w:r>
            <w:proofErr w:type="spellEnd"/>
            <w:r w:rsidR="00D32976"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0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qilinsa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2976" w:rsidRPr="00D32976" w:rsidRDefault="00D32976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976" w:rsidRPr="00D32976" w:rsidRDefault="005D1151" w:rsidP="005D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4EA" w:rsidRPr="00D32976" w:rsidTr="00D26F15">
        <w:trPr>
          <w:trHeight w:val="20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4EA" w:rsidRPr="00D32976" w:rsidRDefault="006324EA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4EA" w:rsidRPr="00D32976" w:rsidRDefault="00250B04" w:rsidP="00B01236">
            <w:pPr>
              <w:spacing w:after="100" w:afterAutospacing="1" w:line="20" w:lineRule="atLeast"/>
              <w:ind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axborot</w:t>
            </w:r>
            <w:proofErr w:type="spellEnd"/>
            <w:r w:rsidR="006324EA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e’lon</w:t>
            </w:r>
            <w:proofErr w:type="spellEnd"/>
            <w:r w:rsidR="006324EA"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qilinmasa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24EA" w:rsidRPr="00D32976" w:rsidRDefault="006324EA" w:rsidP="00250B04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4EA" w:rsidRPr="007813A1" w:rsidRDefault="006324EA" w:rsidP="0025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uz-Cyrl-UZ" w:eastAsia="ru-RU"/>
              </w:rPr>
            </w:pPr>
            <w:r w:rsidRPr="00D3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7813A1" w:rsidRPr="00D32976" w:rsidTr="00D26F15">
        <w:trPr>
          <w:trHeight w:val="20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250B04" w:rsidP="00D32976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Mezonlar</w:t>
            </w:r>
            <w:proofErr w:type="spellEnd"/>
            <w:r w:rsidR="007813A1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D32976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13A1" w:rsidRPr="00D32976" w:rsidRDefault="007813A1" w:rsidP="0057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250B04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ta</w:t>
            </w:r>
            <w:proofErr w:type="spellEnd"/>
          </w:p>
        </w:tc>
      </w:tr>
      <w:tr w:rsidR="007813A1" w:rsidRPr="00D32976" w:rsidTr="00D26F15">
        <w:trPr>
          <w:trHeight w:val="452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3A1" w:rsidRPr="00D32976" w:rsidRDefault="007813A1" w:rsidP="00D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250B04" w:rsidP="00727592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Umumiy</w:t>
            </w:r>
            <w:proofErr w:type="spellEnd"/>
            <w:r w:rsidR="007813A1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ball</w:t>
            </w:r>
            <w:proofErr w:type="spellEnd"/>
            <w:r w:rsidR="007813A1"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D32976" w:rsidRDefault="007813A1" w:rsidP="00727592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7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D32976">
              <w:rPr>
                <w:rFonts w:ascii="Montserrat-Bold" w:eastAsia="Times New Roman" w:hAnsi="Montserrat-Bold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br/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13A1" w:rsidRPr="00153A78" w:rsidRDefault="007813A1" w:rsidP="001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en-US" w:eastAsia="ru-RU"/>
              </w:rPr>
            </w:pPr>
            <w:r w:rsidRPr="006522FA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3A7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val="en-US" w:eastAsia="ru-RU"/>
              </w:rPr>
              <w:t>4,5</w:t>
            </w:r>
          </w:p>
        </w:tc>
      </w:tr>
    </w:tbl>
    <w:p w:rsidR="00712854" w:rsidRDefault="00712854">
      <w:pPr>
        <w:rPr>
          <w:lang w:val="en-US"/>
        </w:rPr>
      </w:pPr>
    </w:p>
    <w:p w:rsidR="00AF69EF" w:rsidRPr="00AF69EF" w:rsidRDefault="00250B04">
      <w:pPr>
        <w:rPr>
          <w:sz w:val="28"/>
          <w:szCs w:val="28"/>
          <w:lang w:val="en-US"/>
        </w:rPr>
      </w:pP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Izoh</w:t>
      </w:r>
      <w:r w:rsidR="005334B8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: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Yuqoridagi</w:t>
      </w:r>
      <w:r w:rsidR="00AF69EF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ko‘rsatkichlar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Oila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va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xotin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-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qizlar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qo‘mitasi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 w:rsidR="005334B8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br/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veb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-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saytining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“</w:t>
      </w:r>
      <w:proofErr w:type="spellStart"/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en-US" w:eastAsia="ru-RU"/>
        </w:rPr>
        <w:t>Faoliyat</w:t>
      </w:r>
      <w:proofErr w:type="spellEnd"/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”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bo‘limi</w:t>
      </w:r>
      <w:r w:rsidR="00DE3A6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,</w:t>
      </w:r>
      <w:r w:rsidR="00E01F3B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hisobot</w:t>
      </w:r>
      <w:r w:rsidR="00DE3A6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sahifasida</w:t>
      </w:r>
      <w:r w:rsidR="005334B8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</w:t>
      </w:r>
      <w:r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>yoritilgan</w:t>
      </w:r>
      <w:r w:rsidR="005334B8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. </w:t>
      </w:r>
      <w:r w:rsidR="00DE3A6D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val="uz-Cyrl-UZ" w:eastAsia="ru-RU"/>
        </w:rPr>
        <w:t xml:space="preserve">  </w:t>
      </w:r>
    </w:p>
    <w:sectPr w:rsidR="00AF69EF" w:rsidRPr="00AF69EF" w:rsidSect="003352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0"/>
    <w:rsid w:val="00024CF9"/>
    <w:rsid w:val="00036F68"/>
    <w:rsid w:val="00040E71"/>
    <w:rsid w:val="00091B96"/>
    <w:rsid w:val="000A48A7"/>
    <w:rsid w:val="000A5C6C"/>
    <w:rsid w:val="000E096C"/>
    <w:rsid w:val="00126C5C"/>
    <w:rsid w:val="00153A78"/>
    <w:rsid w:val="0018197B"/>
    <w:rsid w:val="001A1EA3"/>
    <w:rsid w:val="002117F6"/>
    <w:rsid w:val="002217EF"/>
    <w:rsid w:val="00250B04"/>
    <w:rsid w:val="002D666E"/>
    <w:rsid w:val="003265D0"/>
    <w:rsid w:val="0033522F"/>
    <w:rsid w:val="003C286E"/>
    <w:rsid w:val="00420A5E"/>
    <w:rsid w:val="0042122C"/>
    <w:rsid w:val="00527A83"/>
    <w:rsid w:val="005334B8"/>
    <w:rsid w:val="00577254"/>
    <w:rsid w:val="005D1151"/>
    <w:rsid w:val="006218F7"/>
    <w:rsid w:val="006324EA"/>
    <w:rsid w:val="006522FA"/>
    <w:rsid w:val="0066764B"/>
    <w:rsid w:val="00673193"/>
    <w:rsid w:val="006D4A44"/>
    <w:rsid w:val="006E216E"/>
    <w:rsid w:val="006F7BD5"/>
    <w:rsid w:val="00712854"/>
    <w:rsid w:val="00727592"/>
    <w:rsid w:val="00742217"/>
    <w:rsid w:val="007768F7"/>
    <w:rsid w:val="007813A1"/>
    <w:rsid w:val="00787673"/>
    <w:rsid w:val="008D2256"/>
    <w:rsid w:val="00943815"/>
    <w:rsid w:val="00955BCF"/>
    <w:rsid w:val="009851F9"/>
    <w:rsid w:val="009B221E"/>
    <w:rsid w:val="009D0450"/>
    <w:rsid w:val="009D5A06"/>
    <w:rsid w:val="009D79BE"/>
    <w:rsid w:val="009F484D"/>
    <w:rsid w:val="00A13200"/>
    <w:rsid w:val="00A416CF"/>
    <w:rsid w:val="00A72472"/>
    <w:rsid w:val="00A774AD"/>
    <w:rsid w:val="00AF69EF"/>
    <w:rsid w:val="00B01236"/>
    <w:rsid w:val="00B54EA7"/>
    <w:rsid w:val="00BE3199"/>
    <w:rsid w:val="00BE7F16"/>
    <w:rsid w:val="00C20C8F"/>
    <w:rsid w:val="00C221F3"/>
    <w:rsid w:val="00C42586"/>
    <w:rsid w:val="00C53ACE"/>
    <w:rsid w:val="00C908D1"/>
    <w:rsid w:val="00CB352A"/>
    <w:rsid w:val="00CB4B1E"/>
    <w:rsid w:val="00D26F15"/>
    <w:rsid w:val="00D32976"/>
    <w:rsid w:val="00D91709"/>
    <w:rsid w:val="00DA53CD"/>
    <w:rsid w:val="00DB4C30"/>
    <w:rsid w:val="00DE3A6D"/>
    <w:rsid w:val="00E01F3B"/>
    <w:rsid w:val="00E83615"/>
    <w:rsid w:val="00EB6997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9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9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959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2023-01-18T05:56:00Z</dcterms:created>
  <dcterms:modified xsi:type="dcterms:W3CDTF">2023-04-10T12:09:00Z</dcterms:modified>
</cp:coreProperties>
</file>